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08.06.2022 N 183</w:t>
              <w:br/>
              <w:t xml:space="preserve">"О внесении изменений в Федеральные нормы и правила в области промышленной безопасности "Инструкция по аэрологической безопасности угольных шахт", утвержденные приказом Ростехнадзора от 8 декабря 2020 г. N 506"</w:t>
              <w:br/>
              <w:t xml:space="preserve">(Зарегистрировано в Минюсте России 13.07.2022 N 69248)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июля 2022 г. N 69248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0"/>
        </w:rPr>
        <w:t xml:space="preserve">И АТОМНОМУ НАДЗОРУ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июня 2022 г. N 183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ФЕДЕРАЛЬНЫЕ НОРМЫ И ПРАВИЛА В ОБЛАСТИ ПРОМЫШЛЕННОЙ</w:t>
      </w:r>
    </w:p>
    <w:p>
      <w:pPr>
        <w:pStyle w:val="2"/>
        <w:jc w:val="center"/>
      </w:pPr>
      <w:r>
        <w:rPr>
          <w:sz w:val="20"/>
        </w:rPr>
        <w:t xml:space="preserve">БЕЗОПАСНОСТИ "ИНСТРУКЦИЯ ПО АЭРОЛОГИЧЕСКОЙ БЕЗОПАСНОСТИ</w:t>
      </w:r>
    </w:p>
    <w:p>
      <w:pPr>
        <w:pStyle w:val="2"/>
        <w:jc w:val="center"/>
      </w:pPr>
      <w:r>
        <w:rPr>
          <w:sz w:val="20"/>
        </w:rPr>
        <w:t xml:space="preserve">УГОЛЬНЫХ ШАХТ", УТВЕРЖДЕННЫЕ ПРИКАЗОМ РОСТЕХНАДЗОРА</w:t>
      </w:r>
    </w:p>
    <w:p>
      <w:pPr>
        <w:pStyle w:val="2"/>
        <w:jc w:val="center"/>
      </w:pPr>
      <w:r>
        <w:rPr>
          <w:sz w:val="20"/>
        </w:rPr>
        <w:t xml:space="preserve">ОТ 8 ДЕКАБРЯ 2020 Г. N 506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07.1997 N 116-ФЗ (ред. от 29.12.2022) &quot;О промышленной безопасности опасных производственных объектов&quot; {КонсультантПлюс}">
        <w:r>
          <w:rPr>
            <w:sz w:val="20"/>
            <w:color w:val="0000ff"/>
          </w:rPr>
          <w:t xml:space="preserve">пунктом 1 статьи 3</w:t>
        </w:r>
      </w:hyperlink>
      <w:r>
        <w:rPr>
          <w:sz w:val="20"/>
        </w:rPr>
        <w:t xml:space="preserve">, </w:t>
      </w:r>
      <w:hyperlink w:history="0" r:id="rId8" w:tooltip="Федеральный закон от 21.07.1997 N 116-ФЗ (ред. от 29.12.2022) &quot;О промышленной безопасности опасных производственных объектов&quot; {КонсультантПлюс}">
        <w:r>
          <w:rPr>
            <w:sz w:val="20"/>
            <w:color w:val="0000ff"/>
          </w:rPr>
          <w:t xml:space="preserve">пунктом 1 статьи 4</w:t>
        </w:r>
      </w:hyperlink>
      <w:r>
        <w:rPr>
          <w:sz w:val="20"/>
        </w:rPr>
        <w:t xml:space="preserve"> и </w:t>
      </w:r>
      <w:hyperlink w:history="0" r:id="rId9" w:tooltip="Федеральный закон от 21.07.1997 N 116-ФЗ (ред. от 29.12.2022) &quot;О промышленной безопасности опасных производственных объектов&quot; {КонсультантПлюс}">
        <w:r>
          <w:rPr>
            <w:sz w:val="20"/>
            <w:color w:val="0000ff"/>
          </w:rPr>
          <w:t xml:space="preserve">пунктом 1 статьи 5</w:t>
        </w:r>
      </w:hyperlink>
      <w:r>
        <w:rPr>
          <w:sz w:val="20"/>
        </w:rP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2011, N 30, ст. 4596; 2021, N 24, ст. 4188), </w:t>
      </w:r>
      <w:hyperlink w:history="0" r:id="rId10" w:tooltip="Постановление Правительства РФ от 30.07.2004 N 401 (ред. от 06.12.2021) &quot;О Федеральной службе по экологическому, технологическому и атомному надзору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1" w:tooltip="Постановление Правительства РФ от 30.07.2004 N 401 (ред. от 06.12.2021) &quot;О Федеральной службе по экологическому, технологическому и атомному надзору&quot; {КонсультантПлюс}">
        <w:r>
          <w:rPr>
            <w:sz w:val="20"/>
            <w:color w:val="0000ff"/>
          </w:rPr>
          <w:t xml:space="preserve">подпунктом 5.2.2.16(1) пункта 5</w:t>
        </w:r>
      </w:hyperlink>
      <w:r>
        <w:rPr>
          <w:sz w:val="20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2011, N 50, ст. 7385; 2021, N 50, ст. 8591),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</w:t>
      </w:r>
      <w:hyperlink w:history="0" w:anchor="P3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в Федеральные </w:t>
      </w:r>
      <w:hyperlink w:history="0" r:id="rId12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нормы и правила</w:t>
        </w:r>
      </w:hyperlink>
      <w:r>
        <w:rPr>
          <w:sz w:val="20"/>
        </w:rPr>
        <w:t xml:space="preserve"> в области промышленной безопасности "Инструкция по аэрологической безопасности угольных шахт", утвержденные приказом Ростехнадзора от 8 декабря 2020 г. N 506 (зарегистрирован Министерством юстиции Российской Федерации 29 декабря 2020 г., регистрационный N 61918),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г. и действует до 1 января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А.В.ТРЕМБИЦКИЙ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0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0"/>
        </w:rPr>
        <w:t xml:space="preserve">и атомному надзору</w:t>
      </w:r>
    </w:p>
    <w:p>
      <w:pPr>
        <w:pStyle w:val="0"/>
        <w:jc w:val="right"/>
      </w:pPr>
      <w:r>
        <w:rPr>
          <w:sz w:val="20"/>
        </w:rPr>
        <w:t xml:space="preserve">от 8 июня 2022 г. N 183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ФЕДЕРАЛЬНЫЕ НОРМЫ И ПРАВИЛА В ОБЛАСТИ</w:t>
      </w:r>
    </w:p>
    <w:p>
      <w:pPr>
        <w:pStyle w:val="2"/>
        <w:jc w:val="center"/>
      </w:pPr>
      <w:r>
        <w:rPr>
          <w:sz w:val="20"/>
        </w:rPr>
        <w:t xml:space="preserve">ПРОМЫШЛЕННОЙ БЕЗОПАСНОСТИ "ИНСТРУКЦИЯ ПО АЭРОЛОГИЧЕСКОЙ</w:t>
      </w:r>
    </w:p>
    <w:p>
      <w:pPr>
        <w:pStyle w:val="2"/>
        <w:jc w:val="center"/>
      </w:pPr>
      <w:r>
        <w:rPr>
          <w:sz w:val="20"/>
        </w:rPr>
        <w:t xml:space="preserve">БЕЗОПАСНОСТИ УГОЛЬНЫХ ШАХТ", УТВЕРЖДЕННЫЕ ПРИКАЗОМ</w:t>
      </w:r>
    </w:p>
    <w:p>
      <w:pPr>
        <w:pStyle w:val="2"/>
        <w:jc w:val="center"/>
      </w:pPr>
      <w:r>
        <w:rPr>
          <w:sz w:val="20"/>
        </w:rPr>
        <w:t xml:space="preserve">РОСТЕХНАДЗОРА ОТ 8 ДЕКАБРЯ 2020 Г. N 506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3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62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"Аншлаги результатов контроля состава рудничной атмосферы устанавливаются в призабойных пространствах подготовительных выработок, в исходящих струях очистных и подготовительных выработок, выемочных участков и демонтажных камер, крыла, панели, блока, горизонта, шахтопласта, шахт и в поступающих на выемочные участки и демонтажные камеры вентиляционных струях.".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4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64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 участкам горных выработок, опасным по слоевым скоплениям метана,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тупиковые части выработок длиной 200 м от забоя выработки;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очистная выработка;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длиной 200 м, примыкающий к очистному забою, с исходящей вентиляционной струей;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длиной 200 м, примыкающий к очистному забою, с поступающей вентиляционной струей при наличии в кровле выработки угольных пластов или пропластков на расстоянии менее 20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участки длиной 200 м, примыкающие к очистному забою, с подсвежающей вентиляционной струей и поддерживаемые в выработанном пространстве;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тупиковые части погашаемых выработок по всей их длине;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длиной 50 м от действующего суфляра или разрывного геологического нарушения по направлению движения вентиляционной струи;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длиной 50 м от места бурения дегазационных скважин по направлению движения вентиляционной струи;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тупиковая часть выработки, примыкающая к изоляционной перемычке;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выработки над бункером;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тупиковые выработки, проводимые по угольным пластам, опасным по внезапным выбросам угля (породы) и газа, по всей их длине.".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5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71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"71. Измерение содержания метана с помощью индивидуальных переносных приборов в горных выработках с исходящей из очистной выработки вентиляционной струей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возвратноточной схемы проветривания - в 10 - 20 м от очистного забоя по направлению движения воздушной струи;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прямоточной схемы проветривания с подсвежением исходящей из очистной выработки вентиляционной струи - в очистном забое в 10 - 20 м от сопряжения с оконтуривающей выемочный участок выработкой.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содержания метана в исходящей струе участка проводится в вентиляционной выработке у границы выемочного участка в 10 - 20 м от ходка, уклона, бремсберга, промежуточного квершлага.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содержания метана в поступающей в очистную выработку струе проводится в воздухоподающей выработке на расстоянии 5 - 10 м от входа в очистной забой.".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6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93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"93. В газовых шахтах система АГК должна осуществлять непрерывный автоматический контроль содержания метана в рудничной атмосфере: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зонах выделения метана у буровых станков и комбайнов;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призабойных пространствах тупиковых выработок, проводимых по газоносным пластам (породам) при длине выработки более 6 м, и исходящих вентиляционных струях при длине выработки более 50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тупиковой части выработки передвижной подстанции - у подстанции;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тупиковых выработках, опасных по слоевым скоплениям метана, длиной более 100 м, дополнительно у мест возможных скоплений;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призабойных пространствах и исходящих струях из призабойных пространств присечных выработок;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ВМП с электрическими двигателями при разработке пластов, опасных по внезапным выбросам, а также при установке вентиляторов в выработках с исходящей струей воздуха из очистных и тупиковых выработок;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поступающих в очистные выработки струях;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очистных выработок и в исходящих струях выемочных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 приводом лавного конвейера при использовании напряжения 3 (3,3) кВ в шахтах III категории и выше;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тупиках выработок, погашаемых вслед за очистными забоями со стороны исходящей струи, при поддержании сопряжений секциями механизированной крепи;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камерах для машин и электрооборудования, проветриваемых исходящими струями воздуха и камерах ДС;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местах установки электрооборудования в рудничном нормальном исполнении и электрооборудования общего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выработках с исходящими струями воздуха за пределами выемочных участков (до стволов), если в них имеются электрооборудование и кабели;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крыльев и шахт;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смесительных камер и бункеров;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камерах газоотсасывающих вентиляторов;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местах определения газообильности выемочных участков, крыльев, панелей, блоков, горизонтов, шахтопластов и шахты.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контроля содержания метана в рудничной атмосфере, не предусмотренные пунктом 93 Инструкции, устанавливаются проектными решениями.".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17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8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абзац двадцать третий</w:t>
        </w:r>
      </w:hyperlink>
      <w:r>
        <w:rPr>
          <w:sz w:val="20"/>
        </w:rPr>
        <w:t xml:space="preserve"> после слов "вентиляционной струи" дополнить словами "у стенки выработки на стороне расположения смесительной камеры (смесителя)".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9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"Места установки датчиков для определения газообильности выемочных участков, крыльев, панелей, блоков, горизонтов, шахтопластов и шахты определяются начальником АБ.".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0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131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"131. Непрерывный АКБ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поступающих струях выемочных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поступающих струях очистных забоев;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очистных забоев;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выемочных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газоотсасывающих трубопроводах и в выработках, оборудованных смесительными камерами.".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1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132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"132. Для выполнения требований пункта 131 Инструкции датчики скорости (расхода) воздуха устанавливаются: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поступающих струях выемочных участков - в 10 - 20 м от места входа поступающей струи на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входящих струях очистных забоев - на расстоянии не менее 20 м от очистного забоя;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очистных забоев: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возвратноточной схемы проветривания - на участках выработок на расстоянии не менее 20 м от очистного забоя;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прямоточной схемы проветривания с подсвежением исходящей из очистной выработки вентиляционной струи - в очистном забое в 10 - 20 м от сопряжения с оконтуривающей выемочный участок выработкой;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исходящих струях выемочных участков - в начале вентиляционного штрека в 10 - 20 м от сопряжения с ходком, уклоном, бремсбергом или промежуточным квершлагом;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газоотсасывающих трубопроводах и в выработках, оборудованных смесительными камерами, - в соответствии с проектными решениями и эксплуатационной документацией на датчики скорости (расхода) воздуха.".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2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 137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"137. Система АГК автоматически блокирует работу добычного комбайна при отсутствии расчетного количества воздуха, подаваемого в очистную выработку. Выдержка времени на отключение электрооборудования при достижении порогового значения должна быть не более пяти минут.".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Абзац девятый пункта 412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выработках с оборудованными смесительными камерами в 15 - 20 м от выхода из смесительной камеры по ходу движения вентиляционной струи. Датчик устанавливается в верхней трети сечения выработки на стороне смесительной камеры. Датчик отключает электроэнергию на выемочном участке и в выработках по ходу движения вентиляционной струи при концентрации метана 1% и более. Информация с датчика должна передаваться на рабочее место оператора АГК и регистрироваться;".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24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Пункты 437</w:t>
        </w:r>
      </w:hyperlink>
      <w:r>
        <w:rPr>
          <w:sz w:val="20"/>
        </w:rPr>
        <w:t xml:space="preserve"> - </w:t>
      </w:r>
      <w:hyperlink w:history="0" r:id="rId25" w:tooltip="Приказ Ростехнадзора от 08.12.2020 N 506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------------ Недействующая редакция {КонсультантПлюс}">
        <w:r>
          <w:rPr>
            <w:sz w:val="20"/>
            <w:color w:val="0000ff"/>
          </w:rPr>
          <w:t xml:space="preserve">439</w:t>
        </w:r>
      </w:hyperlink>
      <w:r>
        <w:rPr>
          <w:sz w:val="20"/>
        </w:rPr>
        <w:t xml:space="preserve"> признать утратившими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08.06.2022 N 183</w:t>
            <w:br/>
            <w:t>"О внесении изменений в Федеральные нормы и правила в области промышленной безо...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D3457A24089051C9A64C84D4DEF3A202354C95689620D97BB6A9EB9B3237B7A367D7DCFC69953BCC0759DC44652B3D2E083DB5CKAi1N" TargetMode = "External"/>
	<Relationship Id="rId8" Type="http://schemas.openxmlformats.org/officeDocument/2006/relationships/hyperlink" Target="consultantplus://offline/ref=BD3457A24089051C9A64C84D4DEF3A202354C95689620D97BB6A9EB9B3237B7A367D7DCFC09953BCC0759DC44652B3D2E083DB5CKAi1N" TargetMode = "External"/>
	<Relationship Id="rId9" Type="http://schemas.openxmlformats.org/officeDocument/2006/relationships/hyperlink" Target="consultantplus://offline/ref=BD3457A24089051C9A64C84D4DEF3A202354C95689620D97BB6A9EB9B3237B7A367D7DCAC6940CB9D564C5C94349ACD3FE9FD95EA0K7i9N" TargetMode = "External"/>
	<Relationship Id="rId10" Type="http://schemas.openxmlformats.org/officeDocument/2006/relationships/hyperlink" Target="consultantplus://offline/ref=BD3457A24089051C9A64C84D4DEF3A202357CD5A82620D97BB6A9EB9B3237B7A367D7DC8C49205EB822BC4950719BFD2FB9FDA5EBC789E77K7i8N" TargetMode = "External"/>
	<Relationship Id="rId11" Type="http://schemas.openxmlformats.org/officeDocument/2006/relationships/hyperlink" Target="consultantplus://offline/ref=BD3457A24089051C9A64C84D4DEF3A202357CD5A82620D97BB6A9EB9B3237B7A367D7DC8C49205E9842BC4950719BFD2FB9FDA5EBC789E77K7i8N" TargetMode = "External"/>
	<Relationship Id="rId12" Type="http://schemas.openxmlformats.org/officeDocument/2006/relationships/hyperlink" Target="consultantplus://offline/ref=BD3457A24089051C9A64C84D4DEF3A202450CD5A86670D97BB6A9EB9B3237B7A367D7DC8C49207EC852BC4950719BFD2FB9FDA5EBC789E77K7i8N" TargetMode = "External"/>
	<Relationship Id="rId13" Type="http://schemas.openxmlformats.org/officeDocument/2006/relationships/hyperlink" Target="consultantplus://offline/ref=BD3457A24089051C9A64C84D4DEF3A202450CD5A86670D97BB6A9EB9B3237B7A367D7DC8C49206E58C2BC4950719BFD2FB9FDA5EBC789E77K7i8N" TargetMode = "External"/>
	<Relationship Id="rId14" Type="http://schemas.openxmlformats.org/officeDocument/2006/relationships/hyperlink" Target="consultantplus://offline/ref=BD3457A24089051C9A64C84D4DEF3A202450CD5A86670D97BB6A9EB9B3237B7A367D7DC8C49206E4842BC4950719BFD2FB9FDA5EBC789E77K7i8N" TargetMode = "External"/>
	<Relationship Id="rId15" Type="http://schemas.openxmlformats.org/officeDocument/2006/relationships/hyperlink" Target="consultantplus://offline/ref=BD3457A24089051C9A64C84D4DEF3A202450CD5A86670D97BB6A9EB9B3237B7A367D7DC8C49205EC8D2BC4950719BFD2FB9FDA5EBC789E77K7i8N" TargetMode = "External"/>
	<Relationship Id="rId16" Type="http://schemas.openxmlformats.org/officeDocument/2006/relationships/hyperlink" Target="consultantplus://offline/ref=BD3457A24089051C9A64C84D4DEF3A202450CD5A86670D97BB6A9EB9B3237B7A367D7DC8C49204EC852BC4950719BFD2FB9FDA5EBC789E77K7i8N" TargetMode = "External"/>
	<Relationship Id="rId17" Type="http://schemas.openxmlformats.org/officeDocument/2006/relationships/hyperlink" Target="consultantplus://offline/ref=BD3457A24089051C9A64C84D4DEF3A202450CD5A86670D97BB6A9EB9B3237B7A367D7DC8C49204EE852BC4950719BFD2FB9FDA5EBC789E77K7i8N" TargetMode = "External"/>
	<Relationship Id="rId18" Type="http://schemas.openxmlformats.org/officeDocument/2006/relationships/hyperlink" Target="consultantplus://offline/ref=BD3457A24089051C9A64C84D4DEF3A202450CD5A86670D97BB6A9EB9B3237B7A367D7DC8C49204E8872BC4950719BFD2FB9FDA5EBC789E77K7i8N" TargetMode = "External"/>
	<Relationship Id="rId19" Type="http://schemas.openxmlformats.org/officeDocument/2006/relationships/hyperlink" Target="consultantplus://offline/ref=BD3457A24089051C9A64C84D4DEF3A202450CD5A86670D97BB6A9EB9B3237B7A367D7DC8C49204EE852BC4950719BFD2FB9FDA5EBC789E77K7i8N" TargetMode = "External"/>
	<Relationship Id="rId20" Type="http://schemas.openxmlformats.org/officeDocument/2006/relationships/hyperlink" Target="consultantplus://offline/ref=BD3457A24089051C9A64C84D4DEF3A202450CD5A86670D97BB6A9EB9B3237B7A367D7DC8C49202EC802BC4950719BFD2FB9FDA5EBC789E77K7i8N" TargetMode = "External"/>
	<Relationship Id="rId21" Type="http://schemas.openxmlformats.org/officeDocument/2006/relationships/hyperlink" Target="consultantplus://offline/ref=BD3457A24089051C9A64C84D4DEF3A202450CD5A86670D97BB6A9EB9B3237B7A367D7DC8C49202EF842BC4950719BFD2FB9FDA5EBC789E77K7i8N" TargetMode = "External"/>
	<Relationship Id="rId22" Type="http://schemas.openxmlformats.org/officeDocument/2006/relationships/hyperlink" Target="consultantplus://offline/ref=BD3457A24089051C9A64C84D4DEF3A202450CD5A86670D97BB6A9EB9B3237B7A367D7DC8C49202EE872BC4950719BFD2FB9FDA5EBC789E77K7i8N" TargetMode = "External"/>
	<Relationship Id="rId23" Type="http://schemas.openxmlformats.org/officeDocument/2006/relationships/hyperlink" Target="consultantplus://offline/ref=BD3457A24089051C9A64C84D4DEF3A202450CD5A86670D97BB6A9EB9B3237B7A367D7DC8C49304EF8C2BC4950719BFD2FB9FDA5EBC789E77K7i8N" TargetMode = "External"/>
	<Relationship Id="rId24" Type="http://schemas.openxmlformats.org/officeDocument/2006/relationships/hyperlink" Target="consultantplus://offline/ref=BD3457A24089051C9A64C84D4DEF3A202450CD5A86670D97BB6A9EB9B3237B7A367D7DC8C49304E5842BC4950719BFD2FB9FDA5EBC789E77K7i8N" TargetMode = "External"/>
	<Relationship Id="rId25" Type="http://schemas.openxmlformats.org/officeDocument/2006/relationships/hyperlink" Target="consultantplus://offline/ref=BD3457A24089051C9A64C84D4DEF3A202450CD5A86670D97BB6A9EB9B3237B7A367D7DC8C49304E5862BC4950719BFD2FB9FDA5EBC789E77K7i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4023.00.10</Application>
  <Company>КонсультантПлюс Версия 4023.00.10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08.06.2022 N 183
"О внесении изменений в Федеральные нормы и правила в области промышленной безопасности "Инструкция по аэрологической безопасности угольных шахт", утвержденные приказом Ростехнадзора от 8 декабря 2020 г. N 506"
(Зарегистрировано в Минюсте России 13.07.2022 N 69248)</dc:title>
  <dcterms:created xsi:type="dcterms:W3CDTF">2023-10-05T13:33:47Z</dcterms:created>
</cp:coreProperties>
</file>